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D665" w14:textId="77777777" w:rsidR="00BE79D7" w:rsidRPr="00BE79D7" w:rsidRDefault="00BE79D7" w:rsidP="00BE79D7">
      <w:pPr>
        <w:ind w:left="7788" w:firstLine="708"/>
        <w:rPr>
          <w:noProof/>
        </w:rPr>
      </w:pPr>
      <w:r w:rsidRPr="00BE79D7">
        <w:rPr>
          <w:b/>
          <w:bCs/>
          <w:noProof/>
        </w:rPr>
        <w:t>June 26, 2025</w:t>
      </w:r>
    </w:p>
    <w:p w14:paraId="3450B9B5" w14:textId="77777777" w:rsidR="00BE79D7" w:rsidRPr="00BE79D7" w:rsidRDefault="00BE79D7" w:rsidP="00BE79D7">
      <w:pPr>
        <w:jc w:val="center"/>
        <w:rPr>
          <w:noProof/>
        </w:rPr>
      </w:pPr>
      <w:r w:rsidRPr="00BE79D7">
        <w:rPr>
          <w:b/>
          <w:bCs/>
          <w:noProof/>
          <w:sz w:val="28"/>
          <w:szCs w:val="28"/>
        </w:rPr>
        <w:t>THE FACTORY IN SAMSUN HAS AN ANNUAL CAPACITY OF 450,000 TONS OF DAP FERTILIZER</w:t>
      </w:r>
      <w:r w:rsidRPr="00BE79D7">
        <w:rPr>
          <w:noProof/>
          <w:sz w:val="28"/>
          <w:szCs w:val="28"/>
        </w:rPr>
        <w:br/>
      </w:r>
      <w:r w:rsidRPr="00BE79D7">
        <w:rPr>
          <w:b/>
          <w:bCs/>
          <w:noProof/>
          <w:sz w:val="28"/>
          <w:szCs w:val="28"/>
        </w:rPr>
        <w:t>Eti Bakır’s new fertilizer plant has started production</w:t>
      </w:r>
      <w:r w:rsidRPr="00BE79D7">
        <w:rPr>
          <w:noProof/>
        </w:rPr>
        <w:br/>
        <w:t>Eti Bakır, the only company in Türkiye capable of producing from ore to final product, has started production at its fertilizer plant, which was established with an investment of USD 300 million and integrated into the Samsun Smelting and Electrolysis Plant. With its production capacity of 450,000 tons, the facility will increase Eti Bakır’s total DAP fertilizer production to 850,000 tons annually.</w:t>
      </w:r>
    </w:p>
    <w:p w14:paraId="17F12681" w14:textId="77777777" w:rsidR="00BE79D7" w:rsidRPr="00BE79D7" w:rsidRDefault="00BE79D7" w:rsidP="00BE79D7">
      <w:pPr>
        <w:rPr>
          <w:noProof/>
        </w:rPr>
      </w:pPr>
      <w:r w:rsidRPr="00BE79D7">
        <w:rPr>
          <w:noProof/>
        </w:rPr>
        <w:t>As one of the pioneering companies of value-added industry, Eti Bakır has added another contribution to Türkiye’s agricultural sector. The fertilizer plant, established with an investment of USD 300 million and integrated into the Samsun Smelting and Electrolysis Plant, has now begun production. The facility, which can produce either 450,000 tons of diammonium phosphate (DAP) or 720,000 tons of NPK compound fertilizer annually, depending on demand, will support Turkish farmers.</w:t>
      </w:r>
    </w:p>
    <w:p w14:paraId="195EDCDC" w14:textId="77777777" w:rsidR="00BE79D7" w:rsidRPr="00BE79D7" w:rsidRDefault="00BE79D7" w:rsidP="00BE79D7">
      <w:pPr>
        <w:rPr>
          <w:noProof/>
        </w:rPr>
      </w:pPr>
      <w:r w:rsidRPr="00BE79D7">
        <w:rPr>
          <w:b/>
          <w:bCs/>
          <w:noProof/>
        </w:rPr>
        <w:t>“WE WILL CONTINUE TO SUPPORT FARMERS”</w:t>
      </w:r>
      <w:r w:rsidRPr="00BE79D7">
        <w:rPr>
          <w:noProof/>
        </w:rPr>
        <w:br/>
        <w:t>Emphasizing that fertilizer is a strategic product for Türkiye, Eti Bakır General Manager Asım Akbaş said:</w:t>
      </w:r>
      <w:r w:rsidRPr="00BE79D7">
        <w:rPr>
          <w:noProof/>
        </w:rPr>
        <w:br/>
        <w:t>“Our first and most important goal in fertilizer plant investments is to support Turkish farmers and our country’s agriculture. In Türkiye, there is a fertilizer market of around 6 million tons, of which nearly 650,000 tons consists of DAP fertilizer. Our Samsun and Mazıdağı facilities are capable of producing both of these fertilizers. Therefore, whichever fertilizer the market needs, we will be ready to produce it.”</w:t>
      </w:r>
    </w:p>
    <w:p w14:paraId="674BAE06" w14:textId="77777777" w:rsidR="00BE79D7" w:rsidRPr="00BE79D7" w:rsidRDefault="00BE79D7" w:rsidP="00BE79D7">
      <w:pPr>
        <w:rPr>
          <w:noProof/>
        </w:rPr>
      </w:pPr>
      <w:r w:rsidRPr="00BE79D7">
        <w:rPr>
          <w:noProof/>
        </w:rPr>
        <w:t>Akbaş continued:</w:t>
      </w:r>
      <w:r w:rsidRPr="00BE79D7">
        <w:rPr>
          <w:noProof/>
        </w:rPr>
        <w:br/>
        <w:t>“For a country with high potential like Türkiye, fertilizer production and effective use are critically important for the sustainability of agriculture. On the other hand, due to insufficient domestic production, fertilizer remains on the agenda both because supply cannot meet demand and because of its price. We are one of the companies focusing precisely on this area and increasing investments so that our farmers can access domestically produced fertilizer at affordable prices. With domestic fertilizer production at our Mardin and Samsun facilities, we not only contribute to the development of the agricultural economy but also continue to support farmers by offering fertilizer to the market at affordable prices through our circular economy model. We believe that progress in sustainable agriculture will increase as Turkish farmers gain access to fertilizer at affordable prices.”</w:t>
      </w:r>
    </w:p>
    <w:p w14:paraId="5D600EAB" w14:textId="77777777" w:rsidR="00BE79D7" w:rsidRPr="00BE79D7" w:rsidRDefault="00BE79D7" w:rsidP="00BE79D7">
      <w:pPr>
        <w:rPr>
          <w:noProof/>
        </w:rPr>
      </w:pPr>
      <w:r w:rsidRPr="00BE79D7">
        <w:rPr>
          <w:b/>
          <w:bCs/>
          <w:noProof/>
        </w:rPr>
        <w:t>FOUR-STAGE PURIFICATION SYSTEM</w:t>
      </w:r>
      <w:r w:rsidRPr="00BE79D7">
        <w:rPr>
          <w:noProof/>
        </w:rPr>
        <w:br/>
        <w:t>The new fertilizer plant, with an indoor area of 70,000 square meters, can produce 2,000 tons of fertilizer per day. Consisting of 10 sections including two fertilizer storage areas, silo storage, mill, auxiliary units, DAP building, phosphoric acid area, switchyard building, locker room, and packaging unit, the facility stands out with its efficiency thanks to the latest technologies used.</w:t>
      </w:r>
    </w:p>
    <w:p w14:paraId="491FA4F1" w14:textId="77777777" w:rsidR="00BE79D7" w:rsidRPr="00BE79D7" w:rsidRDefault="00BE79D7" w:rsidP="00BE79D7">
      <w:pPr>
        <w:rPr>
          <w:noProof/>
        </w:rPr>
      </w:pPr>
      <w:r w:rsidRPr="00BE79D7">
        <w:rPr>
          <w:noProof/>
        </w:rPr>
        <w:t>Through the conveyor lines integrated into the fertilizer plant, raw materials arriving from the port are transferred directly to the production line via fully automated belts. If necessary, the fertilizer can also be exported through this conveyor line. Thanks to the four-stage purification system of the new fertilizer plant, flue gas emissions are kept below European standards. The raw material storage area of the facility consists of silos manufactured with the latest technology. These silos prevent the spread of raw materials into the environment and minimize dust emissions.</w:t>
      </w:r>
    </w:p>
    <w:p w14:paraId="7BA622D3" w14:textId="3CEE8562" w:rsidR="00251504" w:rsidRPr="00BE79D7" w:rsidRDefault="00251504" w:rsidP="00BE79D7"/>
    <w:sectPr w:rsidR="00251504" w:rsidRPr="00BE79D7" w:rsidSect="002A569D">
      <w:pgSz w:w="11906" w:h="16838"/>
      <w:pgMar w:top="709"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7C59" w14:textId="77777777" w:rsidR="001B013C" w:rsidRDefault="001B013C" w:rsidP="00A60F34">
      <w:pPr>
        <w:spacing w:after="0" w:line="240" w:lineRule="auto"/>
      </w:pPr>
      <w:r>
        <w:separator/>
      </w:r>
    </w:p>
  </w:endnote>
  <w:endnote w:type="continuationSeparator" w:id="0">
    <w:p w14:paraId="08B97C2F" w14:textId="77777777" w:rsidR="001B013C" w:rsidRDefault="001B013C" w:rsidP="00A6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CC96" w14:textId="77777777" w:rsidR="001B013C" w:rsidRDefault="001B013C" w:rsidP="00A60F34">
      <w:pPr>
        <w:spacing w:after="0" w:line="240" w:lineRule="auto"/>
      </w:pPr>
      <w:r>
        <w:separator/>
      </w:r>
    </w:p>
  </w:footnote>
  <w:footnote w:type="continuationSeparator" w:id="0">
    <w:p w14:paraId="32633EC4" w14:textId="77777777" w:rsidR="001B013C" w:rsidRDefault="001B013C" w:rsidP="00A60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09A5"/>
    <w:rsid w:val="00025F98"/>
    <w:rsid w:val="00036D32"/>
    <w:rsid w:val="000433C9"/>
    <w:rsid w:val="00081AB5"/>
    <w:rsid w:val="000B5F65"/>
    <w:rsid w:val="000F2F56"/>
    <w:rsid w:val="00114068"/>
    <w:rsid w:val="00142B7E"/>
    <w:rsid w:val="00162DE9"/>
    <w:rsid w:val="001B013C"/>
    <w:rsid w:val="0023708A"/>
    <w:rsid w:val="002434EF"/>
    <w:rsid w:val="00244681"/>
    <w:rsid w:val="00251504"/>
    <w:rsid w:val="0028375B"/>
    <w:rsid w:val="00296B64"/>
    <w:rsid w:val="002A051B"/>
    <w:rsid w:val="002A569D"/>
    <w:rsid w:val="003146C7"/>
    <w:rsid w:val="003830C3"/>
    <w:rsid w:val="003A73D7"/>
    <w:rsid w:val="00443CD7"/>
    <w:rsid w:val="004725C4"/>
    <w:rsid w:val="004A7FCD"/>
    <w:rsid w:val="004B6F1E"/>
    <w:rsid w:val="004B72C3"/>
    <w:rsid w:val="004C079B"/>
    <w:rsid w:val="004C270F"/>
    <w:rsid w:val="004C5704"/>
    <w:rsid w:val="005138A1"/>
    <w:rsid w:val="005A18A1"/>
    <w:rsid w:val="005B1700"/>
    <w:rsid w:val="005F0997"/>
    <w:rsid w:val="00632AB3"/>
    <w:rsid w:val="00655221"/>
    <w:rsid w:val="00693EFD"/>
    <w:rsid w:val="006E61B6"/>
    <w:rsid w:val="00712F80"/>
    <w:rsid w:val="00741CED"/>
    <w:rsid w:val="007546C0"/>
    <w:rsid w:val="007852C0"/>
    <w:rsid w:val="007C479E"/>
    <w:rsid w:val="007D5680"/>
    <w:rsid w:val="007E5AF5"/>
    <w:rsid w:val="007F7132"/>
    <w:rsid w:val="0080225E"/>
    <w:rsid w:val="00860305"/>
    <w:rsid w:val="008A0F0C"/>
    <w:rsid w:val="008A397B"/>
    <w:rsid w:val="00915600"/>
    <w:rsid w:val="00942EBC"/>
    <w:rsid w:val="009741AD"/>
    <w:rsid w:val="00984A20"/>
    <w:rsid w:val="00993A06"/>
    <w:rsid w:val="009C211A"/>
    <w:rsid w:val="009E0913"/>
    <w:rsid w:val="00A24768"/>
    <w:rsid w:val="00A4269A"/>
    <w:rsid w:val="00A60F34"/>
    <w:rsid w:val="00A76665"/>
    <w:rsid w:val="00AB1EEF"/>
    <w:rsid w:val="00AD25D5"/>
    <w:rsid w:val="00AF4365"/>
    <w:rsid w:val="00B20511"/>
    <w:rsid w:val="00B33540"/>
    <w:rsid w:val="00B40036"/>
    <w:rsid w:val="00B44F2D"/>
    <w:rsid w:val="00B536C1"/>
    <w:rsid w:val="00B63C66"/>
    <w:rsid w:val="00B7717A"/>
    <w:rsid w:val="00BB3E5A"/>
    <w:rsid w:val="00BC706D"/>
    <w:rsid w:val="00BE79D7"/>
    <w:rsid w:val="00C51B29"/>
    <w:rsid w:val="00C5594B"/>
    <w:rsid w:val="00CB7961"/>
    <w:rsid w:val="00CC6D90"/>
    <w:rsid w:val="00CD5B3B"/>
    <w:rsid w:val="00CE7C96"/>
    <w:rsid w:val="00D0692C"/>
    <w:rsid w:val="00D22969"/>
    <w:rsid w:val="00D34D6B"/>
    <w:rsid w:val="00D43BF5"/>
    <w:rsid w:val="00D46A3A"/>
    <w:rsid w:val="00D64FB7"/>
    <w:rsid w:val="00D95001"/>
    <w:rsid w:val="00DC026B"/>
    <w:rsid w:val="00DE5BD9"/>
    <w:rsid w:val="00DE64E4"/>
    <w:rsid w:val="00DF08E2"/>
    <w:rsid w:val="00DF3101"/>
    <w:rsid w:val="00E247B4"/>
    <w:rsid w:val="00E27259"/>
    <w:rsid w:val="00E77465"/>
    <w:rsid w:val="00E9399B"/>
    <w:rsid w:val="00EA3D40"/>
    <w:rsid w:val="00EB0BE3"/>
    <w:rsid w:val="00EB0E19"/>
    <w:rsid w:val="00EF2D06"/>
    <w:rsid w:val="00EF5EA6"/>
    <w:rsid w:val="00F167C7"/>
    <w:rsid w:val="00F16FE9"/>
    <w:rsid w:val="00F2255D"/>
    <w:rsid w:val="00F473E9"/>
    <w:rsid w:val="00F51E84"/>
    <w:rsid w:val="00FB43CD"/>
    <w:rsid w:val="05972CF1"/>
    <w:rsid w:val="0CB5721F"/>
    <w:rsid w:val="0CF69843"/>
    <w:rsid w:val="0F41FC9A"/>
    <w:rsid w:val="102720C8"/>
    <w:rsid w:val="14826603"/>
    <w:rsid w:val="1CB6543A"/>
    <w:rsid w:val="1E09ADF1"/>
    <w:rsid w:val="210C5322"/>
    <w:rsid w:val="25A3033B"/>
    <w:rsid w:val="2DCC8C76"/>
    <w:rsid w:val="37975A4E"/>
    <w:rsid w:val="39EE6250"/>
    <w:rsid w:val="3B2523DA"/>
    <w:rsid w:val="3D63BBDC"/>
    <w:rsid w:val="40F95296"/>
    <w:rsid w:val="41314E63"/>
    <w:rsid w:val="47EA8844"/>
    <w:rsid w:val="48EB5CDF"/>
    <w:rsid w:val="4BAC3EA6"/>
    <w:rsid w:val="4C93EB96"/>
    <w:rsid w:val="51333C4E"/>
    <w:rsid w:val="56504464"/>
    <w:rsid w:val="56C8DB13"/>
    <w:rsid w:val="5F8C45F6"/>
    <w:rsid w:val="60A59052"/>
    <w:rsid w:val="61AD0F4E"/>
    <w:rsid w:val="6399DA05"/>
    <w:rsid w:val="690212CD"/>
    <w:rsid w:val="6B00D976"/>
    <w:rsid w:val="6D8832C0"/>
    <w:rsid w:val="712155FB"/>
    <w:rsid w:val="79F4E729"/>
    <w:rsid w:val="7F725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F34"/>
  </w:style>
  <w:style w:type="paragraph" w:styleId="AltBilgi">
    <w:name w:val="footer"/>
    <w:basedOn w:val="Normal"/>
    <w:link w:val="AltBilgiChar"/>
    <w:uiPriority w:val="99"/>
    <w:unhideWhenUsed/>
    <w:rsid w:val="00A60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F34"/>
  </w:style>
  <w:style w:type="character" w:styleId="AklamaBavurusu">
    <w:name w:val="annotation reference"/>
    <w:basedOn w:val="VarsaylanParagrafYazTipi"/>
    <w:uiPriority w:val="99"/>
    <w:semiHidden/>
    <w:unhideWhenUsed/>
    <w:rsid w:val="002A051B"/>
    <w:rPr>
      <w:sz w:val="16"/>
      <w:szCs w:val="16"/>
    </w:rPr>
  </w:style>
  <w:style w:type="paragraph" w:styleId="AklamaMetni">
    <w:name w:val="annotation text"/>
    <w:basedOn w:val="Normal"/>
    <w:link w:val="AklamaMetniChar"/>
    <w:uiPriority w:val="99"/>
    <w:unhideWhenUsed/>
    <w:rsid w:val="002A051B"/>
    <w:pPr>
      <w:spacing w:line="240" w:lineRule="auto"/>
    </w:pPr>
    <w:rPr>
      <w:sz w:val="20"/>
      <w:szCs w:val="20"/>
    </w:rPr>
  </w:style>
  <w:style w:type="character" w:customStyle="1" w:styleId="AklamaMetniChar">
    <w:name w:val="Açıklama Metni Char"/>
    <w:basedOn w:val="VarsaylanParagrafYazTipi"/>
    <w:link w:val="AklamaMetni"/>
    <w:uiPriority w:val="99"/>
    <w:rsid w:val="002A051B"/>
    <w:rPr>
      <w:sz w:val="20"/>
      <w:szCs w:val="20"/>
    </w:rPr>
  </w:style>
  <w:style w:type="paragraph" w:styleId="AklamaKonusu">
    <w:name w:val="annotation subject"/>
    <w:basedOn w:val="AklamaMetni"/>
    <w:next w:val="AklamaMetni"/>
    <w:link w:val="AklamaKonusuChar"/>
    <w:uiPriority w:val="99"/>
    <w:semiHidden/>
    <w:unhideWhenUsed/>
    <w:rsid w:val="002A051B"/>
    <w:rPr>
      <w:b/>
      <w:bCs/>
    </w:rPr>
  </w:style>
  <w:style w:type="character" w:customStyle="1" w:styleId="AklamaKonusuChar">
    <w:name w:val="Açıklama Konusu Char"/>
    <w:basedOn w:val="AklamaMetniChar"/>
    <w:link w:val="AklamaKonusu"/>
    <w:uiPriority w:val="99"/>
    <w:semiHidden/>
    <w:rsid w:val="002A051B"/>
    <w:rPr>
      <w:b/>
      <w:bCs/>
      <w:sz w:val="20"/>
      <w:szCs w:val="20"/>
    </w:rPr>
  </w:style>
  <w:style w:type="paragraph" w:styleId="Dzeltme">
    <w:name w:val="Revision"/>
    <w:hidden/>
    <w:uiPriority w:val="99"/>
    <w:semiHidden/>
    <w:rsid w:val="00DC0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4723">
      <w:bodyDiv w:val="1"/>
      <w:marLeft w:val="0"/>
      <w:marRight w:val="0"/>
      <w:marTop w:val="0"/>
      <w:marBottom w:val="0"/>
      <w:divBdr>
        <w:top w:val="none" w:sz="0" w:space="0" w:color="auto"/>
        <w:left w:val="none" w:sz="0" w:space="0" w:color="auto"/>
        <w:bottom w:val="none" w:sz="0" w:space="0" w:color="auto"/>
        <w:right w:val="none" w:sz="0" w:space="0" w:color="auto"/>
      </w:divBdr>
    </w:div>
    <w:div w:id="520555033">
      <w:bodyDiv w:val="1"/>
      <w:marLeft w:val="0"/>
      <w:marRight w:val="0"/>
      <w:marTop w:val="0"/>
      <w:marBottom w:val="0"/>
      <w:divBdr>
        <w:top w:val="none" w:sz="0" w:space="0" w:color="auto"/>
        <w:left w:val="none" w:sz="0" w:space="0" w:color="auto"/>
        <w:bottom w:val="none" w:sz="0" w:space="0" w:color="auto"/>
        <w:right w:val="none" w:sz="0" w:space="0" w:color="auto"/>
      </w:divBdr>
    </w:div>
    <w:div w:id="766658516">
      <w:bodyDiv w:val="1"/>
      <w:marLeft w:val="0"/>
      <w:marRight w:val="0"/>
      <w:marTop w:val="0"/>
      <w:marBottom w:val="0"/>
      <w:divBdr>
        <w:top w:val="none" w:sz="0" w:space="0" w:color="auto"/>
        <w:left w:val="none" w:sz="0" w:space="0" w:color="auto"/>
        <w:bottom w:val="none" w:sz="0" w:space="0" w:color="auto"/>
        <w:right w:val="none" w:sz="0" w:space="0" w:color="auto"/>
      </w:divBdr>
    </w:div>
    <w:div w:id="871958350">
      <w:bodyDiv w:val="1"/>
      <w:marLeft w:val="0"/>
      <w:marRight w:val="0"/>
      <w:marTop w:val="0"/>
      <w:marBottom w:val="0"/>
      <w:divBdr>
        <w:top w:val="none" w:sz="0" w:space="0" w:color="auto"/>
        <w:left w:val="none" w:sz="0" w:space="0" w:color="auto"/>
        <w:bottom w:val="none" w:sz="0" w:space="0" w:color="auto"/>
        <w:right w:val="none" w:sz="0" w:space="0" w:color="auto"/>
      </w:divBdr>
    </w:div>
    <w:div w:id="11427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2.xml><?xml version="1.0" encoding="utf-8"?>
<ds:datastoreItem xmlns:ds="http://schemas.openxmlformats.org/officeDocument/2006/customXml" ds:itemID="{AB0BAC95-21E0-41C4-80E0-06EE55437CAE}">
  <ds:schemaRefs>
    <ds:schemaRef ds:uri="http://schemas.microsoft.com/sharepoint/v3/contenttype/forms"/>
  </ds:schemaRefs>
</ds:datastoreItem>
</file>

<file path=customXml/itemProps3.xml><?xml version="1.0" encoding="utf-8"?>
<ds:datastoreItem xmlns:ds="http://schemas.openxmlformats.org/officeDocument/2006/customXml" ds:itemID="{A26FAFEA-CD1D-47CD-A498-9B687A90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Umut AKTAS</cp:lastModifiedBy>
  <cp:revision>5</cp:revision>
  <cp:lastPrinted>2025-05-21T12:43:00Z</cp:lastPrinted>
  <dcterms:created xsi:type="dcterms:W3CDTF">2025-05-27T09:36:00Z</dcterms:created>
  <dcterms:modified xsi:type="dcterms:W3CDTF">2025-09-02T08:24:00Z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